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9A64937" w14:paraId="4AFBBF23" wp14:textId="554E726A">
      <w:pPr>
        <w:pStyle w:val="Heading1"/>
        <w:jc w:val="center"/>
        <w:rPr>
          <w:rFonts w:ascii="Arial" w:hAnsi="Arial" w:eastAsia="Arial" w:cs="Arial"/>
          <w:color w:val="auto"/>
          <w:lang w:val="fr-FR"/>
        </w:rPr>
      </w:pPr>
      <w:r w:rsidRPr="59A64937" w:rsidR="59A64937">
        <w:rPr>
          <w:rFonts w:ascii="Arial" w:hAnsi="Arial" w:eastAsia="Arial" w:cs="Arial"/>
          <w:color w:val="auto"/>
          <w:lang w:val="fr-FR"/>
        </w:rPr>
        <w:t>Critères d’évaluation</w:t>
      </w:r>
    </w:p>
    <w:p xmlns:wp14="http://schemas.microsoft.com/office/word/2010/wordml" w:rsidP="59A64937" w14:paraId="18D636DC" wp14:textId="122F1F87">
      <w:pPr>
        <w:pStyle w:val="Heading1"/>
        <w:jc w:val="center"/>
        <w:rPr>
          <w:rFonts w:ascii="Arial" w:hAnsi="Arial" w:eastAsia="Arial" w:cs="Arial"/>
          <w:color w:val="auto"/>
          <w:lang w:val="fr-FR"/>
        </w:rPr>
      </w:pPr>
      <w:r w:rsidRPr="59A64937" w:rsidR="59A64937">
        <w:rPr>
          <w:rFonts w:ascii="Arial" w:hAnsi="Arial" w:eastAsia="Arial" w:cs="Arial"/>
          <w:color w:val="auto"/>
          <w:lang w:val="fr-FR"/>
        </w:rPr>
        <w:t>Séquence Signalétique : pli, découpe, empreinte</w:t>
      </w:r>
    </w:p>
    <w:p w:rsidR="5231C66E" w:rsidP="59A64937" w:rsidRDefault="5231C66E" w14:paraId="3AAC9BCB" w14:textId="7D3E0EC4">
      <w:pPr>
        <w:pStyle w:val="Normal"/>
        <w:rPr>
          <w:rFonts w:ascii="Arial" w:hAnsi="Arial" w:eastAsia="Arial" w:cs="Arial"/>
          <w:color w:val="auto"/>
        </w:rPr>
      </w:pPr>
    </w:p>
    <w:p xmlns:wp14="http://schemas.microsoft.com/office/word/2010/wordml" w:rsidP="59A64937" w14:paraId="7E01E2B6" wp14:textId="77777777" wp14:noSpellErr="1">
      <w:pPr>
        <w:pStyle w:val="NoSpacing"/>
        <w:rPr>
          <w:rFonts w:ascii="Arial" w:hAnsi="Arial" w:eastAsia="Arial" w:cs="Arial"/>
          <w:color w:val="auto"/>
          <w:sz w:val="24"/>
          <w:szCs w:val="24"/>
        </w:rPr>
      </w:pP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s’appuie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sur les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compétences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définies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dans le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référentiel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des Arts appliqués et cultures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artistiques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du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baccalauréat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professionnel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. Elle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permet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de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situer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l’élève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dans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sa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progression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selon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les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pôles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et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compétences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mobilisés</w:t>
      </w:r>
      <w:r w:rsidRPr="59A64937" w:rsidR="59A64937">
        <w:rPr>
          <w:rFonts w:ascii="Arial" w:hAnsi="Arial" w:eastAsia="Arial" w:cs="Arial"/>
          <w:color w:val="auto"/>
          <w:sz w:val="24"/>
          <w:szCs w:val="24"/>
        </w:rPr>
        <w:t>.</w:t>
      </w:r>
    </w:p>
    <w:p w:rsidR="59A64937" w:rsidP="59A64937" w:rsidRDefault="59A64937" w14:paraId="35AF7ED0" w14:textId="7B9A8CEE">
      <w:pPr>
        <w:pStyle w:val="NoSpacing"/>
        <w:rPr>
          <w:rFonts w:ascii="Arial" w:hAnsi="Arial" w:eastAsia="Arial" w:cs="Arial"/>
          <w:color w:val="auto"/>
          <w:sz w:val="24"/>
          <w:szCs w:val="24"/>
        </w:rPr>
      </w:pPr>
    </w:p>
    <w:p w:rsidR="5231C66E" w:rsidP="59A64937" w:rsidRDefault="5231C66E" w14:paraId="218D6215" w14:textId="06F28F2A">
      <w:pPr>
        <w:pStyle w:val="NoSpacing"/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805"/>
        <w:gridCol w:w="4020"/>
        <w:gridCol w:w="4085"/>
      </w:tblGrid>
      <w:tr xmlns:wp14="http://schemas.microsoft.com/office/word/2010/wordml" w:rsidTr="59A64937" w14:paraId="020A05C7" wp14:textId="77777777">
        <w:tc>
          <w:tcPr>
            <w:tcW w:w="2805" w:type="dxa"/>
            <w:shd w:val="clear" w:color="auto" w:fill="DAEEF3" w:themeFill="accent5" w:themeFillTint="33"/>
            <w:tcMar/>
            <w:vAlign w:val="top"/>
          </w:tcPr>
          <w:p w:rsidP="59A64937" w14:paraId="51DC6E34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Pôle</w:t>
            </w:r>
          </w:p>
        </w:tc>
        <w:tc>
          <w:tcPr>
            <w:tcW w:w="4020" w:type="dxa"/>
            <w:shd w:val="clear" w:color="auto" w:fill="DAEEF3" w:themeFill="accent5" w:themeFillTint="33"/>
            <w:tcMar/>
            <w:vAlign w:val="top"/>
          </w:tcPr>
          <w:p w:rsidP="59A64937" w14:paraId="1A5520BC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Compétence</w:t>
            </w: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mobilisée</w:t>
            </w:r>
          </w:p>
        </w:tc>
        <w:tc>
          <w:tcPr>
            <w:tcW w:w="4085" w:type="dxa"/>
            <w:shd w:val="clear" w:color="auto" w:fill="DAEEF3" w:themeFill="accent5" w:themeFillTint="33"/>
            <w:tcMar/>
            <w:vAlign w:val="top"/>
          </w:tcPr>
          <w:p w:rsidP="59A64937" w14:paraId="12B579E9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d’évaluation</w:t>
            </w:r>
          </w:p>
        </w:tc>
      </w:tr>
      <w:tr xmlns:wp14="http://schemas.microsoft.com/office/word/2010/wordml" w:rsidTr="59A64937" w14:paraId="63FFF75D" wp14:textId="77777777">
        <w:trPr>
          <w:trHeight w:val="765"/>
        </w:trPr>
        <w:tc>
          <w:tcPr>
            <w:tcW w:w="2805" w:type="dxa"/>
            <w:vMerge w:val="restart"/>
            <w:tcMar/>
            <w:vAlign w:val="center"/>
          </w:tcPr>
          <w:p w:rsidP="59A64937" w14:paraId="2FF0BE90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S’approprier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démarche de conception</w:t>
            </w:r>
          </w:p>
        </w:tc>
        <w:tc>
          <w:tcPr>
            <w:tcW w:w="4020" w:type="dxa"/>
            <w:tcMar/>
            <w:vAlign w:val="center"/>
          </w:tcPr>
          <w:p w:rsidP="59A64937" w14:paraId="21DF0940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CE.2 - Proposer des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recherche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variées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cohérentes</w:t>
            </w:r>
          </w:p>
        </w:tc>
        <w:tc>
          <w:tcPr>
            <w:tcW w:w="4085" w:type="dxa"/>
            <w:tcMar/>
            <w:vAlign w:val="center"/>
          </w:tcPr>
          <w:p w:rsidP="59A64937" w14:paraId="2C2C5011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Proposer des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idées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diversifiées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partir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trois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gestes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: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pli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découpe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empreinte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xmlns:wp14="http://schemas.microsoft.com/office/word/2010/wordml" w:rsidTr="59A64937" w14:paraId="5F1658C4" wp14:textId="77777777">
        <w:trPr>
          <w:trHeight w:val="915"/>
        </w:trPr>
        <w:tc>
          <w:tcPr>
            <w:tcW w:w="2805" w:type="dxa"/>
            <w:vMerge/>
            <w:tcMar/>
            <w:vAlign w:val="center"/>
          </w:tcPr>
          <w:p w14:paraId="1217BE7C" wp14:textId="77777777">
            <w:r>
              <w:rPr>
                <w:sz w:val="20"/>
              </w:rPr>
              <w:t>S’approprier une démarche de conception</w:t>
            </w:r>
          </w:p>
        </w:tc>
        <w:tc>
          <w:tcPr>
            <w:tcW w:w="4020" w:type="dxa"/>
            <w:tcMar/>
            <w:vAlign w:val="center"/>
          </w:tcPr>
          <w:p w:rsidP="59A64937" w14:paraId="33233C49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CE.3 - Exploiter des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références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à des fins de conception</w:t>
            </w:r>
          </w:p>
        </w:tc>
        <w:tc>
          <w:tcPr>
            <w:tcW w:w="4085" w:type="dxa"/>
            <w:tcMar/>
            <w:vAlign w:val="center"/>
          </w:tcPr>
          <w:p w:rsidP="59A64937" w14:paraId="4E104156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S’inspirer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techniques métiers d’art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pour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enrichir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expérimentations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xmlns:wp14="http://schemas.microsoft.com/office/word/2010/wordml" w:rsidTr="59A64937" w14:paraId="451D56A6" wp14:textId="77777777">
        <w:trPr>
          <w:trHeight w:val="1170"/>
        </w:trPr>
        <w:tc>
          <w:tcPr>
            <w:tcW w:w="2805" w:type="dxa"/>
            <w:vMerge/>
            <w:tcMar/>
            <w:vAlign w:val="center"/>
          </w:tcPr>
          <w:p w14:paraId="5F211763" wp14:textId="77777777">
            <w:r>
              <w:rPr>
                <w:sz w:val="20"/>
              </w:rPr>
              <w:t>S’approprier une démarche de conception</w:t>
            </w:r>
          </w:p>
        </w:tc>
        <w:tc>
          <w:tcPr>
            <w:tcW w:w="4020" w:type="dxa"/>
            <w:tcMar/>
            <w:vAlign w:val="center"/>
          </w:tcPr>
          <w:p w:rsidP="59A64937" w14:paraId="4EC70800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CR.1 -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Opérer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choix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pertinents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parmi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pistes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recherche</w:t>
            </w:r>
          </w:p>
        </w:tc>
        <w:tc>
          <w:tcPr>
            <w:tcW w:w="4085" w:type="dxa"/>
            <w:tcMar/>
            <w:vAlign w:val="center"/>
          </w:tcPr>
          <w:p w:rsidP="59A64937" w14:paraId="4C9DD383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Faire des choix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adaptés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au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contexte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la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signalétique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lisibilité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effet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visuel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cohérence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matériaux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).</w:t>
            </w:r>
          </w:p>
        </w:tc>
      </w:tr>
      <w:tr xmlns:wp14="http://schemas.microsoft.com/office/word/2010/wordml" w:rsidTr="59A64937" w14:paraId="181DC9CC" wp14:textId="77777777">
        <w:trPr>
          <w:trHeight w:val="855"/>
        </w:trPr>
        <w:tc>
          <w:tcPr>
            <w:tcW w:w="2805" w:type="dxa"/>
            <w:vMerge w:val="restart"/>
            <w:tcMar/>
            <w:vAlign w:val="center"/>
          </w:tcPr>
          <w:p w:rsidP="59A64937" w14:paraId="25B5DE22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Communiquer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son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analyse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intentions</w:t>
            </w:r>
          </w:p>
        </w:tc>
        <w:tc>
          <w:tcPr>
            <w:tcW w:w="4020" w:type="dxa"/>
            <w:tcMar/>
            <w:vAlign w:val="center"/>
          </w:tcPr>
          <w:p w:rsidP="59A64937" w14:paraId="0C735DE3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CC.4 -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Traduire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graphiquement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des intentions</w:t>
            </w:r>
          </w:p>
        </w:tc>
        <w:tc>
          <w:tcPr>
            <w:tcW w:w="4085" w:type="dxa"/>
            <w:tcMar/>
            <w:vAlign w:val="center"/>
          </w:tcPr>
          <w:p w:rsidP="59A64937" w14:paraId="46EC28C1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Mettre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en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forme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lettre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un mot de façon expressive à travers la matière.</w:t>
            </w:r>
          </w:p>
        </w:tc>
      </w:tr>
      <w:tr xmlns:wp14="http://schemas.microsoft.com/office/word/2010/wordml" w:rsidTr="59A64937" w14:paraId="47475409" wp14:textId="77777777">
        <w:trPr>
          <w:trHeight w:val="1215"/>
        </w:trPr>
        <w:tc>
          <w:tcPr>
            <w:tcW w:w="2805" w:type="dxa"/>
            <w:vMerge/>
            <w:tcMar/>
            <w:vAlign w:val="center"/>
          </w:tcPr>
          <w:p w14:paraId="0B1BB14A" wp14:textId="77777777">
            <w:r>
              <w:rPr>
                <w:sz w:val="20"/>
              </w:rPr>
              <w:t>Communiquer son analyse ou ses intentions</w:t>
            </w:r>
          </w:p>
        </w:tc>
        <w:tc>
          <w:tcPr>
            <w:tcW w:w="4020" w:type="dxa"/>
            <w:tcMar/>
            <w:vAlign w:val="center"/>
          </w:tcPr>
          <w:p w:rsidP="59A64937" w14:paraId="3D49576B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CC.6 - Structurer et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présenter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une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communication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écrite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et/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</w:p>
        </w:tc>
        <w:tc>
          <w:tcPr>
            <w:tcW w:w="4085" w:type="dxa"/>
            <w:tcMar/>
            <w:vAlign w:val="center"/>
          </w:tcPr>
          <w:p w:rsidP="59A64937" w14:paraId="098414DE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Présenter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projet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façon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(croquis, test, justification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orale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écrite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).</w:t>
            </w:r>
          </w:p>
        </w:tc>
      </w:tr>
      <w:tr xmlns:wp14="http://schemas.microsoft.com/office/word/2010/wordml" w:rsidTr="59A64937" w14:paraId="1555F607" wp14:textId="77777777">
        <w:trPr>
          <w:trHeight w:val="1335"/>
        </w:trPr>
        <w:tc>
          <w:tcPr>
            <w:tcW w:w="2805" w:type="dxa"/>
            <w:tcMar/>
            <w:vAlign w:val="center"/>
          </w:tcPr>
          <w:p w:rsidP="59A64937" w14:paraId="77739903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Design et culture appliqués au métier</w:t>
            </w:r>
          </w:p>
        </w:tc>
        <w:tc>
          <w:tcPr>
            <w:tcW w:w="4020" w:type="dxa"/>
            <w:tcMar/>
            <w:vAlign w:val="center"/>
          </w:tcPr>
          <w:p w:rsidP="59A64937" w14:paraId="7018306C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Relations entre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caractéristiques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visuelles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techniques</w:t>
            </w:r>
          </w:p>
        </w:tc>
        <w:tc>
          <w:tcPr>
            <w:tcW w:w="4085" w:type="dxa"/>
            <w:tcMar/>
            <w:vAlign w:val="center"/>
          </w:tcPr>
          <w:p w:rsidP="59A64937" w14:paraId="1618D702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Utiliser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de manière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propriétés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papier, carton,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argile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textile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selon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geste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choisi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.</w:t>
            </w:r>
          </w:p>
        </w:tc>
      </w:tr>
      <w:tr xmlns:wp14="http://schemas.microsoft.com/office/word/2010/wordml" w:rsidTr="59A64937" w14:paraId="4EFBB1CF" wp14:textId="77777777">
        <w:trPr>
          <w:trHeight w:val="1200"/>
        </w:trPr>
        <w:tc>
          <w:tcPr>
            <w:tcW w:w="2805" w:type="dxa"/>
            <w:tcMar/>
            <w:vAlign w:val="center"/>
          </w:tcPr>
          <w:p w:rsidP="59A64937" w14:paraId="4C4D4431" wp14:textId="77777777" wp14:noSpellErr="1">
            <w:pPr>
              <w:pStyle w:val="NoSpacing"/>
              <w:jc w:val="center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Ouverture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artistique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culturelle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civique</w:t>
            </w:r>
          </w:p>
        </w:tc>
        <w:tc>
          <w:tcPr>
            <w:tcW w:w="4020" w:type="dxa"/>
            <w:tcMar/>
            <w:vAlign w:val="center"/>
          </w:tcPr>
          <w:p w:rsidP="59A64937" w14:paraId="0B03C5F5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Lien entre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artistique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exigence du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geste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professionnel</w:t>
            </w:r>
          </w:p>
        </w:tc>
        <w:tc>
          <w:tcPr>
            <w:tcW w:w="4085" w:type="dxa"/>
            <w:tcMar/>
            <w:vAlign w:val="center"/>
          </w:tcPr>
          <w:p w:rsidP="59A64937" w14:paraId="35A67D63" wp14:textId="77777777" wp14:noSpellErr="1">
            <w:pPr>
              <w:pStyle w:val="NoSpacing"/>
              <w:jc w:val="left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Soigner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finitions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explorer des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effets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visuels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sensibles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valoriser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 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>geste</w:t>
            </w:r>
            <w:r w:rsidRPr="59A64937" w:rsidR="59A64937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technique.</w:t>
            </w:r>
          </w:p>
        </w:tc>
      </w:tr>
    </w:tbl>
    <w:sectPr w:rsidRPr="0006063C" w:rsidR="00FC693F" w:rsidSect="0003461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7E19C4"/>
    <w:rsid w:val="2231ED48"/>
    <w:rsid w:val="2F282C0F"/>
    <w:rsid w:val="31D2E187"/>
    <w:rsid w:val="31D2E187"/>
    <w:rsid w:val="5231C66E"/>
    <w:rsid w:val="59A64937"/>
    <w:rsid w:val="6D86B4FC"/>
    <w:rsid w:val="7F8AE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46D9845A-AEDD-453C-9F57-B16C9D5D40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3</revision>
  <dcterms:created xsi:type="dcterms:W3CDTF">2013-12-23T23:15:00.0000000Z</dcterms:created>
  <dcterms:modified xsi:type="dcterms:W3CDTF">2025-04-30T14:15:57.4866842Z</dcterms:modified>
  <category/>
</coreProperties>
</file>